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E77A" w14:textId="77777777" w:rsidR="00D31254" w:rsidRDefault="00D31254" w:rsidP="00D31254">
      <w:pPr>
        <w:pStyle w:val="Heading2"/>
        <w:jc w:val="center"/>
        <w:rPr>
          <w:color w:val="6F0B01"/>
        </w:rPr>
      </w:pPr>
      <w:r>
        <w:rPr>
          <w:noProof/>
        </w:rPr>
        <w:drawing>
          <wp:inline distT="0" distB="0" distL="0" distR="0" wp14:anchorId="69CCB632" wp14:editId="370E8589">
            <wp:extent cx="655320" cy="655320"/>
            <wp:effectExtent l="0" t="0" r="0" b="0"/>
            <wp:docPr id="934836645" name="Picture 1" descr="Kondin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dini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14:paraId="2E0F8048" w14:textId="74C76AC4" w:rsidR="00D31254" w:rsidRDefault="00D31254" w:rsidP="00D31254">
      <w:pPr>
        <w:pStyle w:val="Heading2"/>
        <w:jc w:val="center"/>
        <w:rPr>
          <w:b/>
          <w:bCs/>
          <w:color w:val="6F0B01"/>
          <w:u w:val="single"/>
        </w:rPr>
      </w:pPr>
      <w:r w:rsidRPr="00D31254">
        <w:rPr>
          <w:b/>
          <w:bCs/>
          <w:color w:val="6F0B01"/>
          <w:u w:val="single"/>
        </w:rPr>
        <w:t xml:space="preserve">Shire of Kondinin Community Grant </w:t>
      </w:r>
      <w:r w:rsidRPr="00D31254">
        <w:rPr>
          <w:b/>
          <w:bCs/>
          <w:color w:val="6F0B01"/>
          <w:u w:val="single"/>
        </w:rPr>
        <w:t>Guidelines</w:t>
      </w:r>
    </w:p>
    <w:p w14:paraId="7E1DD0AC" w14:textId="77777777" w:rsidR="00D31254" w:rsidRPr="00D31254" w:rsidRDefault="00D31254" w:rsidP="00D31254"/>
    <w:p w14:paraId="23B9280B" w14:textId="77777777" w:rsidR="00D31254" w:rsidRDefault="00D31254" w:rsidP="00D31254">
      <w:pPr>
        <w:pStyle w:val="Heading2"/>
      </w:pPr>
      <w:r>
        <w:t>Selection Criteria</w:t>
      </w:r>
    </w:p>
    <w:p w14:paraId="1141F854" w14:textId="77777777" w:rsidR="00D31254" w:rsidRDefault="00D31254" w:rsidP="00D31254">
      <w:pPr>
        <w:spacing w:after="120"/>
      </w:pPr>
      <w:r>
        <w:t>Each application will be assessed against the following criteria:</w:t>
      </w:r>
    </w:p>
    <w:p w14:paraId="2AE06930" w14:textId="77777777" w:rsidR="00D31254" w:rsidRDefault="00D31254" w:rsidP="00D31254">
      <w:pPr>
        <w:pStyle w:val="ListBullet"/>
        <w:tabs>
          <w:tab w:val="num" w:pos="360"/>
        </w:tabs>
        <w:ind w:left="360" w:hanging="360"/>
      </w:pPr>
      <w:r>
        <w:t>Does the project meet a community need?</w:t>
      </w:r>
    </w:p>
    <w:p w14:paraId="7E301287" w14:textId="77777777" w:rsidR="00D31254" w:rsidRDefault="00D31254" w:rsidP="00D31254">
      <w:pPr>
        <w:pStyle w:val="ListBullet"/>
        <w:tabs>
          <w:tab w:val="num" w:pos="360"/>
        </w:tabs>
        <w:ind w:left="360" w:hanging="360"/>
      </w:pPr>
      <w:r>
        <w:t>Does the project benefit a sufficiently broad or diverse target group?</w:t>
      </w:r>
    </w:p>
    <w:p w14:paraId="1543B8CF" w14:textId="77777777" w:rsidR="00D31254" w:rsidRDefault="00D31254" w:rsidP="00D31254">
      <w:pPr>
        <w:pStyle w:val="ListBullet"/>
        <w:tabs>
          <w:tab w:val="num" w:pos="360"/>
        </w:tabs>
        <w:ind w:left="360" w:hanging="360"/>
      </w:pPr>
      <w:r>
        <w:t xml:space="preserve">Does the </w:t>
      </w:r>
      <w:proofErr w:type="spellStart"/>
      <w:r>
        <w:t>organisation</w:t>
      </w:r>
      <w:proofErr w:type="spellEnd"/>
      <w:r>
        <w:t xml:space="preserve"> have the capacity to undertake and manage the project?</w:t>
      </w:r>
    </w:p>
    <w:p w14:paraId="6215A91A" w14:textId="77777777" w:rsidR="00D31254" w:rsidRDefault="00D31254" w:rsidP="00D31254">
      <w:pPr>
        <w:pStyle w:val="ListBullet"/>
        <w:tabs>
          <w:tab w:val="num" w:pos="360"/>
        </w:tabs>
        <w:ind w:left="360" w:hanging="360"/>
      </w:pPr>
      <w:r>
        <w:t>Does the application represent value for money?</w:t>
      </w:r>
    </w:p>
    <w:p w14:paraId="7405245B" w14:textId="77777777" w:rsidR="00D31254" w:rsidRDefault="00D31254" w:rsidP="00D31254">
      <w:pPr>
        <w:pStyle w:val="ListBullet"/>
        <w:tabs>
          <w:tab w:val="num" w:pos="360"/>
        </w:tabs>
        <w:ind w:left="360" w:hanging="360"/>
      </w:pPr>
      <w:r>
        <w:t>Collaborative community-wide projects are encouraged.</w:t>
      </w:r>
    </w:p>
    <w:p w14:paraId="0450B611" w14:textId="77777777" w:rsidR="00D31254" w:rsidRDefault="00D31254" w:rsidP="00D31254">
      <w:pPr>
        <w:pStyle w:val="Heading2"/>
      </w:pPr>
      <w:r>
        <w:t>Funding Rounds</w:t>
      </w:r>
    </w:p>
    <w:p w14:paraId="27655928" w14:textId="77777777" w:rsidR="00D31254" w:rsidRDefault="00D31254" w:rsidP="00D31254">
      <w:pPr>
        <w:spacing w:after="120"/>
      </w:pPr>
      <w:r>
        <w:t>The Community Grants Program is allocated from within Council’s general revenue budget each year with applications being called at the end of March and closing at the start of May. Funding will be announced following approval by Council in May.</w:t>
      </w:r>
    </w:p>
    <w:p w14:paraId="761A2919" w14:textId="77777777" w:rsidR="00D31254" w:rsidRDefault="00D31254" w:rsidP="00D31254">
      <w:pPr>
        <w:pStyle w:val="Heading2"/>
      </w:pPr>
      <w:r>
        <w:t>Eligible Projects can include</w:t>
      </w:r>
    </w:p>
    <w:p w14:paraId="64A78E8E" w14:textId="77777777" w:rsidR="00D31254" w:rsidRDefault="00D31254" w:rsidP="00D31254">
      <w:pPr>
        <w:pStyle w:val="ListBullet"/>
        <w:tabs>
          <w:tab w:val="num" w:pos="360"/>
        </w:tabs>
        <w:ind w:left="360" w:hanging="360"/>
      </w:pPr>
      <w:r>
        <w:t>Printing of posters/flyers</w:t>
      </w:r>
    </w:p>
    <w:p w14:paraId="0B14BBC6" w14:textId="77777777" w:rsidR="00D31254" w:rsidRDefault="00D31254" w:rsidP="00D31254">
      <w:pPr>
        <w:pStyle w:val="ListBullet"/>
        <w:tabs>
          <w:tab w:val="num" w:pos="360"/>
        </w:tabs>
        <w:ind w:left="360" w:hanging="360"/>
      </w:pPr>
      <w:r>
        <w:t>Advertising and promotion</w:t>
      </w:r>
    </w:p>
    <w:p w14:paraId="35745AC5" w14:textId="77777777" w:rsidR="00D31254" w:rsidRDefault="00D31254" w:rsidP="00D31254">
      <w:pPr>
        <w:pStyle w:val="ListBullet"/>
        <w:tabs>
          <w:tab w:val="num" w:pos="360"/>
        </w:tabs>
        <w:ind w:left="360" w:hanging="360"/>
      </w:pPr>
      <w:r>
        <w:t>Purchase of equipment required for ongoing operations (e.g. shade tents, tables, chairs, computers etc.)</w:t>
      </w:r>
    </w:p>
    <w:p w14:paraId="4BCB081D" w14:textId="77777777" w:rsidR="00D31254" w:rsidRDefault="00D31254" w:rsidP="00D31254">
      <w:pPr>
        <w:pStyle w:val="ListBullet"/>
        <w:tabs>
          <w:tab w:val="num" w:pos="360"/>
        </w:tabs>
        <w:ind w:left="360" w:hanging="360"/>
      </w:pPr>
      <w:r>
        <w:t>Assistance towards workshops/projects that benefit the Shire of Kondinin community</w:t>
      </w:r>
    </w:p>
    <w:p w14:paraId="4703247D" w14:textId="77777777" w:rsidR="00D31254" w:rsidRDefault="00D31254" w:rsidP="00D31254">
      <w:pPr>
        <w:pStyle w:val="ListBullet"/>
        <w:tabs>
          <w:tab w:val="num" w:pos="360"/>
        </w:tabs>
        <w:ind w:left="360" w:hanging="360"/>
      </w:pPr>
      <w:r>
        <w:t>Entertainment</w:t>
      </w:r>
    </w:p>
    <w:p w14:paraId="5E9BB516" w14:textId="77777777" w:rsidR="00D31254" w:rsidRDefault="00D31254" w:rsidP="00D31254">
      <w:pPr>
        <w:pStyle w:val="ListBullet"/>
        <w:tabs>
          <w:tab w:val="num" w:pos="360"/>
        </w:tabs>
        <w:ind w:left="360" w:hanging="360"/>
      </w:pPr>
      <w:r>
        <w:t>Costs associated with public events or functions in the Shire of Kondinin</w:t>
      </w:r>
    </w:p>
    <w:p w14:paraId="167EF97E" w14:textId="77777777" w:rsidR="00D31254" w:rsidRDefault="00D31254" w:rsidP="00D31254">
      <w:pPr>
        <w:pStyle w:val="ListBullet"/>
        <w:tabs>
          <w:tab w:val="num" w:pos="360"/>
        </w:tabs>
        <w:ind w:left="360" w:hanging="360"/>
      </w:pPr>
      <w:r>
        <w:t>Infrastructure improvements (e.g. fencing, lighting, storage etc.)</w:t>
      </w:r>
    </w:p>
    <w:p w14:paraId="20360ADA" w14:textId="77777777" w:rsidR="00D31254" w:rsidRDefault="00D31254" w:rsidP="00D31254">
      <w:pPr>
        <w:pStyle w:val="Heading2"/>
      </w:pPr>
      <w:r>
        <w:t>What items will not be funded</w:t>
      </w:r>
    </w:p>
    <w:p w14:paraId="544B09E3" w14:textId="77777777" w:rsidR="00D31254" w:rsidRDefault="00D31254" w:rsidP="00D31254">
      <w:pPr>
        <w:pStyle w:val="ListBullet"/>
        <w:tabs>
          <w:tab w:val="num" w:pos="360"/>
        </w:tabs>
        <w:ind w:left="360" w:hanging="360"/>
      </w:pPr>
      <w:r>
        <w:t>Assistance towards Council’s rates or standard user agreements</w:t>
      </w:r>
    </w:p>
    <w:p w14:paraId="5DC7283F" w14:textId="77777777" w:rsidR="00D31254" w:rsidRDefault="00D31254" w:rsidP="00D31254">
      <w:pPr>
        <w:pStyle w:val="ListBullet"/>
        <w:tabs>
          <w:tab w:val="num" w:pos="360"/>
        </w:tabs>
        <w:ind w:left="360" w:hanging="360"/>
      </w:pPr>
      <w:r>
        <w:t>Financial operating costs (e.g. rent, staff wages, utilities, insurance, stationery)</w:t>
      </w:r>
    </w:p>
    <w:p w14:paraId="3C5FF079" w14:textId="77777777" w:rsidR="00D31254" w:rsidRDefault="00D31254" w:rsidP="00D31254">
      <w:pPr>
        <w:pStyle w:val="ListBullet"/>
        <w:tabs>
          <w:tab w:val="num" w:pos="360"/>
        </w:tabs>
        <w:ind w:left="360" w:hanging="360"/>
      </w:pPr>
      <w:r>
        <w:t>Replacement &amp; repairs of consumables including technology items</w:t>
      </w:r>
    </w:p>
    <w:p w14:paraId="479927E6" w14:textId="77777777" w:rsidR="00D31254" w:rsidRDefault="00D31254" w:rsidP="00D31254">
      <w:pPr>
        <w:pStyle w:val="ListBullet"/>
        <w:tabs>
          <w:tab w:val="num" w:pos="360"/>
        </w:tabs>
        <w:ind w:left="360" w:hanging="360"/>
      </w:pPr>
      <w:r>
        <w:t>Food, drinks and alcohol</w:t>
      </w:r>
    </w:p>
    <w:p w14:paraId="599C8981" w14:textId="77777777" w:rsidR="00D31254" w:rsidRDefault="00D31254" w:rsidP="00D31254">
      <w:pPr>
        <w:pStyle w:val="ListBullet"/>
        <w:tabs>
          <w:tab w:val="num" w:pos="360"/>
        </w:tabs>
        <w:ind w:left="360" w:hanging="360"/>
      </w:pPr>
      <w:r>
        <w:t>Interstate and overseas travel</w:t>
      </w:r>
    </w:p>
    <w:p w14:paraId="655409BB" w14:textId="77777777" w:rsidR="00D31254" w:rsidRDefault="00D31254" w:rsidP="00D31254">
      <w:pPr>
        <w:pStyle w:val="ListBullet"/>
        <w:tabs>
          <w:tab w:val="num" w:pos="360"/>
        </w:tabs>
        <w:ind w:left="360" w:hanging="360"/>
      </w:pPr>
      <w:r>
        <w:t>Conference attendance</w:t>
      </w:r>
    </w:p>
    <w:p w14:paraId="64062C0A" w14:textId="77777777" w:rsidR="00D31254" w:rsidRDefault="00D31254" w:rsidP="00D31254">
      <w:pPr>
        <w:pStyle w:val="ListBullet"/>
        <w:tabs>
          <w:tab w:val="num" w:pos="360"/>
        </w:tabs>
        <w:ind w:left="360" w:hanging="360"/>
      </w:pPr>
      <w:r>
        <w:t xml:space="preserve">Projects </w:t>
      </w:r>
      <w:proofErr w:type="gramStart"/>
      <w:r>
        <w:t>already</w:t>
      </w:r>
      <w:proofErr w:type="gramEnd"/>
      <w:r>
        <w:t xml:space="preserve"> commenced</w:t>
      </w:r>
    </w:p>
    <w:p w14:paraId="5BD4650E" w14:textId="77777777" w:rsidR="00D31254" w:rsidRDefault="00D31254" w:rsidP="00D31254">
      <w:pPr>
        <w:pStyle w:val="ListBullet"/>
        <w:tabs>
          <w:tab w:val="num" w:pos="360"/>
        </w:tabs>
        <w:ind w:left="360" w:hanging="360"/>
      </w:pPr>
      <w:r>
        <w:t xml:space="preserve">Projects not based </w:t>
      </w:r>
      <w:proofErr w:type="gramStart"/>
      <w:r>
        <w:t>in</w:t>
      </w:r>
      <w:proofErr w:type="gramEnd"/>
      <w:r>
        <w:t xml:space="preserve"> the Shire of Kondinin</w:t>
      </w:r>
    </w:p>
    <w:p w14:paraId="7E35B9BA" w14:textId="77777777" w:rsidR="00D31254" w:rsidRDefault="00D31254" w:rsidP="00D31254">
      <w:pPr>
        <w:pStyle w:val="ListBullet"/>
        <w:tabs>
          <w:tab w:val="num" w:pos="360"/>
        </w:tabs>
        <w:ind w:left="360" w:hanging="360"/>
      </w:pPr>
      <w:r>
        <w:lastRenderedPageBreak/>
        <w:t>Duplicate services within the community without approval</w:t>
      </w:r>
    </w:p>
    <w:p w14:paraId="6E230722" w14:textId="77777777" w:rsidR="00D31254" w:rsidRDefault="00D31254" w:rsidP="00D31254">
      <w:pPr>
        <w:pStyle w:val="ListBullet"/>
        <w:tabs>
          <w:tab w:val="num" w:pos="360"/>
        </w:tabs>
        <w:ind w:left="360" w:hanging="360"/>
      </w:pPr>
      <w:r>
        <w:t>Items benefiting an individual</w:t>
      </w:r>
    </w:p>
    <w:p w14:paraId="50D59937" w14:textId="77777777" w:rsidR="00D31254" w:rsidRDefault="00D31254" w:rsidP="00D31254">
      <w:pPr>
        <w:pStyle w:val="ListBullet"/>
        <w:tabs>
          <w:tab w:val="num" w:pos="360"/>
        </w:tabs>
        <w:ind w:left="360" w:hanging="360"/>
      </w:pPr>
      <w:proofErr w:type="spellStart"/>
      <w:r>
        <w:t>Subsidising</w:t>
      </w:r>
      <w:proofErr w:type="spellEnd"/>
      <w:r>
        <w:t xml:space="preserve"> sporting club fees</w:t>
      </w:r>
    </w:p>
    <w:p w14:paraId="2D63A22E" w14:textId="77777777" w:rsidR="00D31254" w:rsidRDefault="00D31254" w:rsidP="00D31254">
      <w:pPr>
        <w:pStyle w:val="Heading2"/>
      </w:pPr>
      <w:r>
        <w:t>Who can apply</w:t>
      </w:r>
    </w:p>
    <w:p w14:paraId="62519853" w14:textId="77777777" w:rsidR="00D31254" w:rsidRDefault="00D31254" w:rsidP="00D31254">
      <w:pPr>
        <w:spacing w:after="120"/>
      </w:pPr>
      <w:r>
        <w:t xml:space="preserve">Eligible groups and </w:t>
      </w:r>
      <w:proofErr w:type="spellStart"/>
      <w:r>
        <w:t>organisations</w:t>
      </w:r>
      <w:proofErr w:type="spellEnd"/>
      <w:r>
        <w:t xml:space="preserve"> must be:</w:t>
      </w:r>
    </w:p>
    <w:p w14:paraId="6F4D8B48" w14:textId="77777777" w:rsidR="00D31254" w:rsidRDefault="00D31254" w:rsidP="00D31254">
      <w:pPr>
        <w:pStyle w:val="ListBullet"/>
        <w:tabs>
          <w:tab w:val="num" w:pos="360"/>
        </w:tabs>
        <w:ind w:left="360" w:hanging="360"/>
      </w:pPr>
      <w:r>
        <w:t xml:space="preserve">An incorporated not-for-profit </w:t>
      </w:r>
      <w:proofErr w:type="spellStart"/>
      <w:r>
        <w:t>organisation</w:t>
      </w:r>
      <w:proofErr w:type="spellEnd"/>
      <w:r>
        <w:t xml:space="preserve"> (or sub-committee with support letter)</w:t>
      </w:r>
    </w:p>
    <w:p w14:paraId="0CE52EEA" w14:textId="77777777" w:rsidR="00D31254" w:rsidRDefault="00D31254" w:rsidP="00D31254">
      <w:pPr>
        <w:pStyle w:val="ListBullet"/>
        <w:tabs>
          <w:tab w:val="num" w:pos="360"/>
        </w:tabs>
        <w:ind w:left="360" w:hanging="360"/>
      </w:pPr>
      <w:r>
        <w:t xml:space="preserve">An unincorporated not-for-profit </w:t>
      </w:r>
      <w:proofErr w:type="spellStart"/>
      <w:r>
        <w:t>organisation</w:t>
      </w:r>
      <w:proofErr w:type="spellEnd"/>
      <w:r>
        <w:t xml:space="preserve"> with auspice from a not-for-profit or local government authority</w:t>
      </w:r>
    </w:p>
    <w:p w14:paraId="4F456DE5" w14:textId="77777777" w:rsidR="00D31254" w:rsidRDefault="00D31254" w:rsidP="00D31254">
      <w:pPr>
        <w:pStyle w:val="Heading2"/>
      </w:pPr>
      <w:r>
        <w:t>Who cannot apply</w:t>
      </w:r>
    </w:p>
    <w:p w14:paraId="3595CE72" w14:textId="77777777" w:rsidR="00D31254" w:rsidRDefault="00D31254" w:rsidP="00D31254">
      <w:pPr>
        <w:pStyle w:val="ListBullet"/>
        <w:tabs>
          <w:tab w:val="num" w:pos="360"/>
        </w:tabs>
        <w:ind w:left="360" w:hanging="360"/>
      </w:pPr>
      <w:r>
        <w:t xml:space="preserve">Unincorporated </w:t>
      </w:r>
      <w:proofErr w:type="spellStart"/>
      <w:r>
        <w:t>organisations</w:t>
      </w:r>
      <w:proofErr w:type="spellEnd"/>
      <w:r>
        <w:t xml:space="preserve"> without an auspice</w:t>
      </w:r>
    </w:p>
    <w:p w14:paraId="4F1DC69A" w14:textId="77777777" w:rsidR="00D31254" w:rsidRDefault="00D31254" w:rsidP="00D31254">
      <w:pPr>
        <w:pStyle w:val="ListBullet"/>
        <w:tabs>
          <w:tab w:val="num" w:pos="360"/>
        </w:tabs>
        <w:ind w:left="360" w:hanging="360"/>
      </w:pPr>
      <w:r>
        <w:t>Individuals</w:t>
      </w:r>
    </w:p>
    <w:p w14:paraId="4458DDF5" w14:textId="77777777" w:rsidR="00D31254" w:rsidRDefault="00D31254" w:rsidP="00D31254">
      <w:pPr>
        <w:pStyle w:val="ListBullet"/>
        <w:tabs>
          <w:tab w:val="num" w:pos="360"/>
        </w:tabs>
        <w:ind w:left="360" w:hanging="360"/>
      </w:pPr>
      <w:r>
        <w:t xml:space="preserve">Commercial for-profit </w:t>
      </w:r>
      <w:proofErr w:type="spellStart"/>
      <w:r>
        <w:t>organisations</w:t>
      </w:r>
      <w:proofErr w:type="spellEnd"/>
    </w:p>
    <w:p w14:paraId="2047DBF1" w14:textId="77777777" w:rsidR="00D31254" w:rsidRDefault="00D31254" w:rsidP="00D31254">
      <w:pPr>
        <w:pStyle w:val="ListBullet"/>
        <w:tabs>
          <w:tab w:val="num" w:pos="360"/>
        </w:tabs>
        <w:ind w:left="360" w:hanging="360"/>
      </w:pPr>
      <w:r>
        <w:t>Government agencies</w:t>
      </w:r>
    </w:p>
    <w:p w14:paraId="7FCD8184" w14:textId="77777777" w:rsidR="00D31254" w:rsidRDefault="00D31254" w:rsidP="00D31254">
      <w:pPr>
        <w:pStyle w:val="ListBullet"/>
        <w:tabs>
          <w:tab w:val="num" w:pos="360"/>
        </w:tabs>
        <w:ind w:left="360" w:hanging="360"/>
      </w:pPr>
      <w:proofErr w:type="spellStart"/>
      <w:r>
        <w:t>Organisations</w:t>
      </w:r>
      <w:proofErr w:type="spellEnd"/>
      <w:r>
        <w:t xml:space="preserve"> without previous acquittals submitted</w:t>
      </w:r>
    </w:p>
    <w:p w14:paraId="09EEA469" w14:textId="77777777" w:rsidR="00D31254" w:rsidRDefault="00D31254" w:rsidP="00D31254">
      <w:pPr>
        <w:pStyle w:val="ListBullet"/>
        <w:tabs>
          <w:tab w:val="num" w:pos="360"/>
        </w:tabs>
        <w:ind w:left="360" w:hanging="360"/>
      </w:pPr>
      <w:r>
        <w:t>No funding for salary/admin/recurring costs</w:t>
      </w:r>
    </w:p>
    <w:p w14:paraId="23260293" w14:textId="77777777" w:rsidR="00D31254" w:rsidRDefault="00D31254" w:rsidP="00D31254">
      <w:pPr>
        <w:pStyle w:val="ListBullet"/>
        <w:tabs>
          <w:tab w:val="num" w:pos="360"/>
        </w:tabs>
        <w:ind w:left="360" w:hanging="360"/>
      </w:pPr>
      <w:r>
        <w:t>Council decision is final</w:t>
      </w:r>
    </w:p>
    <w:p w14:paraId="043D7E40" w14:textId="77777777" w:rsidR="00D31254" w:rsidRDefault="00D31254" w:rsidP="00D31254">
      <w:pPr>
        <w:pStyle w:val="ListBullet"/>
        <w:tabs>
          <w:tab w:val="num" w:pos="360"/>
        </w:tabs>
        <w:ind w:left="360" w:hanging="360"/>
      </w:pPr>
      <w:proofErr w:type="spellStart"/>
      <w:r>
        <w:t>Organisation</w:t>
      </w:r>
      <w:proofErr w:type="spellEnd"/>
      <w:r>
        <w:t xml:space="preserve"> may auspice more than one application</w:t>
      </w:r>
    </w:p>
    <w:p w14:paraId="4620FD3F" w14:textId="77777777" w:rsidR="00D31254" w:rsidRDefault="00D31254" w:rsidP="00D31254">
      <w:pPr>
        <w:pStyle w:val="Heading2"/>
      </w:pPr>
      <w:r>
        <w:t>Payment</w:t>
      </w:r>
    </w:p>
    <w:p w14:paraId="7AA022DD" w14:textId="77777777" w:rsidR="00D31254" w:rsidRDefault="00D31254" w:rsidP="00D31254">
      <w:pPr>
        <w:spacing w:after="120"/>
      </w:pPr>
      <w:r>
        <w:t>Payment of CGP funds will be made once evidence of project completion is provided. Extension requests must be submitted in writing to the CEO for approval.</w:t>
      </w:r>
    </w:p>
    <w:p w14:paraId="6C667557" w14:textId="77777777" w:rsidR="00D31254" w:rsidRDefault="00D31254" w:rsidP="00D31254">
      <w:pPr>
        <w:spacing w:after="120"/>
      </w:pPr>
    </w:p>
    <w:p w14:paraId="44BDD70D" w14:textId="77777777" w:rsidR="00D325D3" w:rsidRDefault="00D325D3"/>
    <w:sectPr w:rsidR="00D325D3" w:rsidSect="00D31254">
      <w:footerReference w:type="default" r:id="rId9"/>
      <w:pgSz w:w="12240" w:h="15840"/>
      <w:pgMar w:top="284"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6A97" w14:textId="77777777" w:rsidR="00D31254" w:rsidRDefault="00D31254">
    <w:pPr>
      <w:pStyle w:val="Footer"/>
      <w:jc w:val="right"/>
    </w:pPr>
    <w:r>
      <w:rPr>
        <w:noProof/>
      </w:rPr>
      <w:drawing>
        <wp:inline distT="0" distB="0" distL="0" distR="0" wp14:anchorId="111A5F4A" wp14:editId="3BC65C58">
          <wp:extent cx="900000" cy="1020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c5dc01-2bfd-4da0-800a-a24f87739327.png"/>
                  <pic:cNvPicPr/>
                </pic:nvPicPr>
                <pic:blipFill>
                  <a:blip r:embed="rId1"/>
                  <a:stretch>
                    <a:fillRect/>
                  </a:stretch>
                </pic:blipFill>
                <pic:spPr>
                  <a:xfrm>
                    <a:off x="0" y="0"/>
                    <a:ext cx="900000" cy="1020603"/>
                  </a:xfrm>
                  <a:prstGeom prst="rect">
                    <a:avLst/>
                  </a:prstGeom>
                </pic:spPr>
              </pic:pic>
            </a:graphicData>
          </a:graphic>
        </wp:inline>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DEBB02"/>
    <w:lvl w:ilvl="0">
      <w:start w:val="1"/>
      <w:numFmt w:val="bullet"/>
      <w:pStyle w:val="ListBullet"/>
      <w:lvlText w:val=""/>
      <w:lvlJc w:val="left"/>
      <w:pPr>
        <w:tabs>
          <w:tab w:val="num" w:pos="360"/>
        </w:tabs>
        <w:ind w:left="360" w:hanging="360"/>
      </w:pPr>
      <w:rPr>
        <w:rFonts w:ascii="Symbol" w:hAnsi="Symbol" w:hint="default"/>
      </w:rPr>
    </w:lvl>
  </w:abstractNum>
  <w:num w:numId="1" w16cid:durableId="207227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54"/>
    <w:rsid w:val="0015524B"/>
    <w:rsid w:val="00812160"/>
    <w:rsid w:val="00D0308A"/>
    <w:rsid w:val="00D31254"/>
    <w:rsid w:val="00D325D3"/>
    <w:rsid w:val="00DB7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7EFC"/>
  <w15:chartTrackingRefBased/>
  <w15:docId w15:val="{5BD9FCEB-44B2-457D-8351-D81C391D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54"/>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D31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1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1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254"/>
    <w:rPr>
      <w:rFonts w:eastAsiaTheme="majorEastAsia" w:cstheme="majorBidi"/>
      <w:color w:val="272727" w:themeColor="text1" w:themeTint="D8"/>
    </w:rPr>
  </w:style>
  <w:style w:type="paragraph" w:styleId="Title">
    <w:name w:val="Title"/>
    <w:basedOn w:val="Normal"/>
    <w:next w:val="Normal"/>
    <w:link w:val="TitleChar"/>
    <w:uiPriority w:val="10"/>
    <w:qFormat/>
    <w:rsid w:val="00D31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254"/>
    <w:pPr>
      <w:spacing w:before="160"/>
      <w:jc w:val="center"/>
    </w:pPr>
    <w:rPr>
      <w:i/>
      <w:iCs/>
      <w:color w:val="404040" w:themeColor="text1" w:themeTint="BF"/>
    </w:rPr>
  </w:style>
  <w:style w:type="character" w:customStyle="1" w:styleId="QuoteChar">
    <w:name w:val="Quote Char"/>
    <w:basedOn w:val="DefaultParagraphFont"/>
    <w:link w:val="Quote"/>
    <w:uiPriority w:val="29"/>
    <w:rsid w:val="00D31254"/>
    <w:rPr>
      <w:i/>
      <w:iCs/>
      <w:color w:val="404040" w:themeColor="text1" w:themeTint="BF"/>
    </w:rPr>
  </w:style>
  <w:style w:type="paragraph" w:styleId="ListParagraph">
    <w:name w:val="List Paragraph"/>
    <w:basedOn w:val="Normal"/>
    <w:uiPriority w:val="34"/>
    <w:qFormat/>
    <w:rsid w:val="00D31254"/>
    <w:pPr>
      <w:ind w:left="720"/>
      <w:contextualSpacing/>
    </w:pPr>
  </w:style>
  <w:style w:type="character" w:styleId="IntenseEmphasis">
    <w:name w:val="Intense Emphasis"/>
    <w:basedOn w:val="DefaultParagraphFont"/>
    <w:uiPriority w:val="21"/>
    <w:qFormat/>
    <w:rsid w:val="00D31254"/>
    <w:rPr>
      <w:i/>
      <w:iCs/>
      <w:color w:val="0F4761" w:themeColor="accent1" w:themeShade="BF"/>
    </w:rPr>
  </w:style>
  <w:style w:type="paragraph" w:styleId="IntenseQuote">
    <w:name w:val="Intense Quote"/>
    <w:basedOn w:val="Normal"/>
    <w:next w:val="Normal"/>
    <w:link w:val="IntenseQuoteChar"/>
    <w:uiPriority w:val="30"/>
    <w:qFormat/>
    <w:rsid w:val="00D31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254"/>
    <w:rPr>
      <w:i/>
      <w:iCs/>
      <w:color w:val="0F4761" w:themeColor="accent1" w:themeShade="BF"/>
    </w:rPr>
  </w:style>
  <w:style w:type="character" w:styleId="IntenseReference">
    <w:name w:val="Intense Reference"/>
    <w:basedOn w:val="DefaultParagraphFont"/>
    <w:uiPriority w:val="32"/>
    <w:qFormat/>
    <w:rsid w:val="00D31254"/>
    <w:rPr>
      <w:b/>
      <w:bCs/>
      <w:smallCaps/>
      <w:color w:val="0F4761" w:themeColor="accent1" w:themeShade="BF"/>
      <w:spacing w:val="5"/>
    </w:rPr>
  </w:style>
  <w:style w:type="paragraph" w:styleId="Footer">
    <w:name w:val="footer"/>
    <w:basedOn w:val="Normal"/>
    <w:link w:val="FooterChar"/>
    <w:uiPriority w:val="99"/>
    <w:unhideWhenUsed/>
    <w:rsid w:val="00D31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254"/>
    <w:rPr>
      <w:rFonts w:eastAsiaTheme="minorEastAsia"/>
      <w:kern w:val="0"/>
      <w:sz w:val="22"/>
      <w:szCs w:val="22"/>
      <w:lang w:val="en-US"/>
      <w14:ligatures w14:val="none"/>
    </w:rPr>
  </w:style>
  <w:style w:type="paragraph" w:styleId="ListBullet">
    <w:name w:val="List Bullet"/>
    <w:basedOn w:val="Normal"/>
    <w:uiPriority w:val="99"/>
    <w:unhideWhenUsed/>
    <w:rsid w:val="00D31254"/>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BFB9FE1DD704CB35D42C7FB03BFDC" ma:contentTypeVersion="10" ma:contentTypeDescription="Create a new document." ma:contentTypeScope="" ma:versionID="adadfd51c3eba9ae6c62f7607cf87b64">
  <xsd:schema xmlns:xsd="http://www.w3.org/2001/XMLSchema" xmlns:xs="http://www.w3.org/2001/XMLSchema" xmlns:p="http://schemas.microsoft.com/office/2006/metadata/properties" xmlns:ns3="2da138c7-43b6-4eb9-b8e1-7080793fa6c5" targetNamespace="http://schemas.microsoft.com/office/2006/metadata/properties" ma:root="true" ma:fieldsID="52eb70caca8727c316a2b196e4ecc637" ns3:_="">
    <xsd:import namespace="2da138c7-43b6-4eb9-b8e1-7080793fa6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138c7-43b6-4eb9-b8e1-7080793fa6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a138c7-43b6-4eb9-b8e1-7080793fa6c5" xsi:nil="true"/>
  </documentManagement>
</p:properties>
</file>

<file path=customXml/itemProps1.xml><?xml version="1.0" encoding="utf-8"?>
<ds:datastoreItem xmlns:ds="http://schemas.openxmlformats.org/officeDocument/2006/customXml" ds:itemID="{525770A8-E318-4C47-96C7-B27C4214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138c7-43b6-4eb9-b8e1-7080793fa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2F6BE-0F31-4136-8A71-6FDC073D3EBD}">
  <ds:schemaRefs>
    <ds:schemaRef ds:uri="http://schemas.microsoft.com/sharepoint/v3/contenttype/forms"/>
  </ds:schemaRefs>
</ds:datastoreItem>
</file>

<file path=customXml/itemProps3.xml><?xml version="1.0" encoding="utf-8"?>
<ds:datastoreItem xmlns:ds="http://schemas.openxmlformats.org/officeDocument/2006/customXml" ds:itemID="{AEB90458-562F-48AE-BF70-FE87F292C724}">
  <ds:schemaRefs>
    <ds:schemaRef ds:uri="http://schemas.microsoft.com/office/2006/metadata/properties"/>
    <ds:schemaRef ds:uri="http://schemas.microsoft.com/office/infopath/2007/PartnerControls"/>
    <ds:schemaRef ds:uri="2da138c7-43b6-4eb9-b8e1-7080793fa6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2031</Characters>
  <Application>Microsoft Office Word</Application>
  <DocSecurity>0</DocSecurity>
  <Lines>49</Lines>
  <Paragraphs>50</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Kemp</dc:creator>
  <cp:keywords/>
  <dc:description/>
  <cp:lastModifiedBy>Amanda Kemp</cp:lastModifiedBy>
  <cp:revision>2</cp:revision>
  <dcterms:created xsi:type="dcterms:W3CDTF">2026-03-26T06:29:00Z</dcterms:created>
  <dcterms:modified xsi:type="dcterms:W3CDTF">2026-03-26T06:29:00Z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0x010100076BFB9FE1DD704CB35D42C7FB03BFDC</vt:lpwstr>
  </property>
</Properties>
</file>